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Åmål kommunfullmäktige</w:t>
      </w:r>
    </w:p>
    <w:p>
      <w:pPr>
        <w:pStyle w:val="Heading1"/>
      </w:pPr>
      <w:r>
        <w:t xml:space="preserve">Bättre cykel- och kollektivtrafik i Åmål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Åmål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Trafikverket konstaterar 2025 att cykelinfrastrukturen i Åmål är otillräcklig och kollektivtrafiken har låg turtäthet. Detta försvårar klimatomställningen och vardagspendling.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Åmål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avsätta medel för att bygga 3 km nya cykelvägar under 2027–2028.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verka för ökad turtäthet på busslinjer till och från centrala Åmål.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installera fler cykelparkeringar vid skolor och tågstationen.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ta fram en cykelplan senast 31 december 2027.</w:t>
      </w:r>
    </w:p>
    <w:p>
      <w:pPr>
        <w:spacing w:before="360"/>
      </w:pPr>
    </w:p>
    <w:p>
      <w:r>
        <w:t xml:space="preserve">Åmål,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Åmål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2026-07-14T05:44:33.233Z</dcterms:created>
  <dcterms:modified xsi:type="dcterms:W3CDTF">2026-07-14T05:44:33.233Z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